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7005" w14:textId="6DEB4761" w:rsidR="009324FC" w:rsidRDefault="008912CB">
      <w:pPr>
        <w:pStyle w:val="BodyText"/>
        <w:ind w:left="33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3360" behindDoc="0" locked="0" layoutInCell="1" allowOverlap="1" wp14:anchorId="761E4C92" wp14:editId="1C4AA9DA">
            <wp:simplePos x="0" y="0"/>
            <wp:positionH relativeFrom="column">
              <wp:posOffset>1723006</wp:posOffset>
            </wp:positionH>
            <wp:positionV relativeFrom="paragraph">
              <wp:posOffset>-659086</wp:posOffset>
            </wp:positionV>
            <wp:extent cx="2596896" cy="649224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46D8D" w14:textId="77777777" w:rsidR="009324FC" w:rsidRDefault="009324FC">
      <w:pPr>
        <w:pStyle w:val="BodyText"/>
        <w:spacing w:before="5"/>
        <w:rPr>
          <w:rFonts w:ascii="Times New Roman"/>
          <w:sz w:val="7"/>
        </w:rPr>
      </w:pPr>
    </w:p>
    <w:p w14:paraId="6D8B65E7" w14:textId="77777777" w:rsidR="009324FC" w:rsidRDefault="00192BEF">
      <w:pPr>
        <w:pStyle w:val="Heading2"/>
        <w:ind w:left="2811" w:right="2801"/>
        <w:jc w:val="center"/>
      </w:pPr>
      <w:r>
        <w:t>Consent for Treatment with Hyaluronidase</w:t>
      </w:r>
    </w:p>
    <w:p w14:paraId="17D14B27" w14:textId="77777777" w:rsidR="009324FC" w:rsidRDefault="00192BEF">
      <w:pPr>
        <w:pStyle w:val="BodyText"/>
        <w:spacing w:before="178" w:line="259" w:lineRule="auto"/>
        <w:ind w:left="104" w:right="160" w:firstLine="720"/>
      </w:pPr>
      <w:r>
        <w:t>Hyaluronic acid (HA) fillers are sterile gels consisting of non-animal stabilized hyaluronic acid for injection into the skin to correct facial lines, wrinkles and folds, for lip enhancement and for shaping facial contours.</w:t>
      </w:r>
    </w:p>
    <w:p w14:paraId="533CDC53" w14:textId="77777777" w:rsidR="009324FC" w:rsidRDefault="00192BEF">
      <w:pPr>
        <w:pStyle w:val="BodyText"/>
        <w:spacing w:before="162" w:line="259" w:lineRule="auto"/>
        <w:ind w:left="104" w:right="294" w:firstLine="720"/>
        <w:jc w:val="both"/>
      </w:pPr>
      <w:r>
        <w:t>Occasionally these fillers need to be dissolved when the aesthetic treatment has not produced the desired outcome or there is a possibility of vascular occlusion or impending necrosis (tissue death) which could lead to compromise of healthy tissue.</w:t>
      </w:r>
    </w:p>
    <w:p w14:paraId="60DD4F17" w14:textId="77777777" w:rsidR="009324FC" w:rsidRDefault="00192BEF">
      <w:pPr>
        <w:pStyle w:val="BodyText"/>
        <w:spacing w:before="157" w:line="259" w:lineRule="auto"/>
        <w:ind w:left="104" w:right="111" w:firstLine="720"/>
      </w:pPr>
      <w:r>
        <w:t>Hyaluronidase is an enzyme which breaks down hyaluronic acid fillers, but it can also break down naturally occurring hyaluronic acid present in the body, the results can be unpredictable. I understand that there will be loss of volume and there can be some skin laxity which in itself may not provide a good aesthetic result. Although some of the effects can be immediate, I understand it can take up to 24-48 hours for results to be seen and the treatment may need to be repeated.</w:t>
      </w:r>
    </w:p>
    <w:p w14:paraId="253017A0" w14:textId="77777777" w:rsidR="009324FC" w:rsidRDefault="00192BEF">
      <w:pPr>
        <w:pStyle w:val="Heading2"/>
        <w:spacing w:before="163"/>
      </w:pPr>
      <w:r>
        <w:t>What are the possible side effects of hyaluronidase?</w:t>
      </w:r>
    </w:p>
    <w:p w14:paraId="410708AD" w14:textId="48569770" w:rsidR="009324FC" w:rsidRDefault="00192BEF">
      <w:pPr>
        <w:pStyle w:val="BodyText"/>
        <w:spacing w:before="178" w:line="259" w:lineRule="auto"/>
        <w:ind w:left="104" w:right="160" w:firstLine="720"/>
      </w:pPr>
      <w:r>
        <w:t xml:space="preserve">Get emergency medical help if you have any of these </w:t>
      </w:r>
      <w:r>
        <w:rPr>
          <w:b/>
        </w:rPr>
        <w:t xml:space="preserve">signs of an allergic reaction: </w:t>
      </w:r>
      <w:r>
        <w:t>hives; difficulty breathing; swelling of your face, lips, tongue, or throat. Less serious side effects may include pain,</w:t>
      </w:r>
      <w:r>
        <w:rPr>
          <w:spacing w:val="-4"/>
        </w:rPr>
        <w:t xml:space="preserve"> </w:t>
      </w:r>
      <w:r>
        <w:t>itching,</w:t>
      </w:r>
      <w:r>
        <w:rPr>
          <w:spacing w:val="-3"/>
        </w:rPr>
        <w:t xml:space="preserve"> </w:t>
      </w:r>
      <w:r>
        <w:t>redness,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swelling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injected.</w:t>
      </w:r>
      <w:r>
        <w:rPr>
          <w:spacing w:val="-3"/>
        </w:rPr>
        <w:t xml:space="preserve"> </w:t>
      </w:r>
      <w:r w:rsidR="008912CB">
        <w:rPr>
          <w:spacing w:val="-3"/>
        </w:rPr>
        <w:t xml:space="preserve">We will perform a skin test patch on the forearm before the procedure to reduce the likelihood of an unknown allergic reaction </w:t>
      </w:r>
      <w:proofErr w:type="spellStart"/>
      <w:r w:rsidR="008912CB">
        <w:rPr>
          <w:spacing w:val="-3"/>
        </w:rPr>
        <w:t>duringthe</w:t>
      </w:r>
      <w:proofErr w:type="spellEnd"/>
      <w:r w:rsidR="008912CB">
        <w:rPr>
          <w:spacing w:val="-3"/>
        </w:rPr>
        <w:t xml:space="preserve"> procedure.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side effects and others may</w:t>
      </w:r>
      <w:r>
        <w:rPr>
          <w:spacing w:val="-5"/>
        </w:rPr>
        <w:t xml:space="preserve"> </w:t>
      </w:r>
      <w:r>
        <w:t>occur.</w:t>
      </w:r>
    </w:p>
    <w:p w14:paraId="45E4AD7D" w14:textId="77777777" w:rsidR="009324FC" w:rsidRDefault="00192BEF">
      <w:pPr>
        <w:pStyle w:val="Heading2"/>
        <w:spacing w:before="160" w:line="403" w:lineRule="auto"/>
        <w:ind w:right="238"/>
      </w:pPr>
      <w:r>
        <w:rPr>
          <w:b w:val="0"/>
        </w:rPr>
        <w:t xml:space="preserve">I </w:t>
      </w:r>
      <w:r>
        <w:t xml:space="preserve">have disclosed all my medical history and medications to my provider. </w:t>
      </w:r>
      <w:r>
        <w:rPr>
          <w:b w:val="0"/>
        </w:rPr>
        <w:t xml:space="preserve">I </w:t>
      </w:r>
      <w:r>
        <w:t>am currently not taking any of the following</w:t>
      </w:r>
      <w:r>
        <w:rPr>
          <w:spacing w:val="-3"/>
        </w:rPr>
        <w:t xml:space="preserve"> </w:t>
      </w:r>
      <w:r>
        <w:t>medications.</w:t>
      </w:r>
    </w:p>
    <w:p w14:paraId="70E069AD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spacing w:before="0" w:line="264" w:lineRule="exact"/>
        <w:ind w:hanging="229"/>
      </w:pPr>
      <w:r>
        <w:t>Furosemide</w:t>
      </w:r>
      <w:r>
        <w:rPr>
          <w:spacing w:val="-2"/>
        </w:rPr>
        <w:t xml:space="preserve"> </w:t>
      </w:r>
      <w:r>
        <w:t>(Lasix)</w:t>
      </w:r>
    </w:p>
    <w:p w14:paraId="6C4306CF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spacing w:before="182"/>
        <w:ind w:hanging="229"/>
      </w:pPr>
      <w:r>
        <w:t>Phenytoin</w:t>
      </w:r>
      <w:r>
        <w:rPr>
          <w:spacing w:val="-2"/>
        </w:rPr>
        <w:t xml:space="preserve"> </w:t>
      </w:r>
      <w:r>
        <w:t>(Dilantin)</w:t>
      </w:r>
    </w:p>
    <w:p w14:paraId="626921DE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ind w:hanging="229"/>
      </w:pPr>
      <w:r>
        <w:t>A sedative or anxiety medication (such as Valium,</w:t>
      </w:r>
      <w:r>
        <w:rPr>
          <w:spacing w:val="-10"/>
        </w:rPr>
        <w:t xml:space="preserve"> </w:t>
      </w:r>
      <w:r>
        <w:t>Xanax)</w:t>
      </w:r>
    </w:p>
    <w:p w14:paraId="7645266D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spacing w:before="182"/>
        <w:ind w:hanging="229"/>
      </w:pPr>
      <w:r>
        <w:t>Aspirin or</w:t>
      </w:r>
      <w:r>
        <w:rPr>
          <w:spacing w:val="-3"/>
        </w:rPr>
        <w:t xml:space="preserve"> </w:t>
      </w:r>
      <w:r>
        <w:t>salicylates</w:t>
      </w:r>
    </w:p>
    <w:p w14:paraId="55E00933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spacing w:before="178"/>
        <w:ind w:hanging="229"/>
      </w:pPr>
      <w:r>
        <w:t>Cortisone or ACTH</w:t>
      </w:r>
      <w:r>
        <w:rPr>
          <w:spacing w:val="-4"/>
        </w:rPr>
        <w:t xml:space="preserve"> </w:t>
      </w:r>
      <w:r>
        <w:t>(Corticotropin)</w:t>
      </w:r>
    </w:p>
    <w:p w14:paraId="0ECDCF0F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ind w:hanging="229"/>
      </w:pPr>
      <w:r>
        <w:t>Estrogens</w:t>
      </w:r>
    </w:p>
    <w:p w14:paraId="088D2AA6" w14:textId="77777777" w:rsidR="009324FC" w:rsidRDefault="00192BEF">
      <w:pPr>
        <w:pStyle w:val="ListParagraph"/>
        <w:numPr>
          <w:ilvl w:val="0"/>
          <w:numId w:val="1"/>
        </w:numPr>
        <w:tabs>
          <w:tab w:val="left" w:pos="333"/>
        </w:tabs>
        <w:ind w:hanging="229"/>
      </w:pPr>
      <w:r>
        <w:t>An antihistamine (such as a cold or allergy</w:t>
      </w:r>
      <w:r>
        <w:rPr>
          <w:spacing w:val="-10"/>
        </w:rPr>
        <w:t xml:space="preserve"> </w:t>
      </w:r>
      <w:r>
        <w:t>medicine)</w:t>
      </w:r>
    </w:p>
    <w:p w14:paraId="2AA9DEA0" w14:textId="77777777" w:rsidR="009324FC" w:rsidRDefault="00192BEF">
      <w:pPr>
        <w:pStyle w:val="BodyText"/>
        <w:spacing w:before="177" w:line="259" w:lineRule="auto"/>
        <w:ind w:left="104" w:right="91" w:firstLine="720"/>
      </w:pPr>
      <w:r>
        <w:t xml:space="preserve">The use of and the indications for the administration of hyaluronidase have been explained to me by my practitioner and I have had the opportunity to have all questions answered to my satisfaction. After the treatment some other common injection-related reactions might occur. </w:t>
      </w:r>
      <w:proofErr w:type="gramStart"/>
      <w:r>
        <w:t>These reaction</w:t>
      </w:r>
      <w:proofErr w:type="gramEnd"/>
      <w:r>
        <w:t xml:space="preserve"> may include redness, swelling, pain, itching, bruising and tenderness at the injection site. They have generally been described as mild to moderate and typically resolve spontaneously a few days after injection.</w:t>
      </w:r>
    </w:p>
    <w:p w14:paraId="51CE5C11" w14:textId="77777777" w:rsidR="009324FC" w:rsidRDefault="009324FC">
      <w:pPr>
        <w:spacing w:line="259" w:lineRule="auto"/>
        <w:sectPr w:rsidR="009324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340" w:bottom="280" w:left="1340" w:header="720" w:footer="720" w:gutter="0"/>
          <w:cols w:space="720"/>
        </w:sectPr>
      </w:pPr>
    </w:p>
    <w:p w14:paraId="74AEDE00" w14:textId="77777777" w:rsidR="009324FC" w:rsidRDefault="00192BEF">
      <w:pPr>
        <w:pStyle w:val="BodyText"/>
        <w:spacing w:before="86" w:line="259" w:lineRule="auto"/>
        <w:ind w:left="104" w:right="288" w:firstLine="720"/>
      </w:pPr>
      <w:r>
        <w:lastRenderedPageBreak/>
        <w:t>I acknowledge that I will have to remain at the clinic for thirty minutes after the procedure so that I can be observed by the practitioner and that I may need to return to the clinic in 1-2 weeks after treatment to assess if further hyaluronidase is to be administered.</w:t>
      </w:r>
    </w:p>
    <w:p w14:paraId="7387A06E" w14:textId="77777777" w:rsidR="009324FC" w:rsidRDefault="00192BEF">
      <w:pPr>
        <w:pStyle w:val="BodyText"/>
        <w:spacing w:before="157" w:line="259" w:lineRule="auto"/>
        <w:ind w:left="104" w:right="91" w:firstLine="720"/>
      </w:pPr>
      <w:r>
        <w:t>I have answered the questions regarding my medical history to the best of my knowledge. I have also received the aftercare information and its contents have been explained to me and I will follow the advice given.</w:t>
      </w:r>
    </w:p>
    <w:p w14:paraId="352294AC" w14:textId="289EE0E6" w:rsidR="009324FC" w:rsidRDefault="00192BEF">
      <w:pPr>
        <w:pStyle w:val="BodyText"/>
        <w:spacing w:before="162" w:line="259" w:lineRule="auto"/>
        <w:ind w:left="104" w:right="412" w:firstLine="720"/>
      </w:pPr>
      <w:r>
        <w:t xml:space="preserve">I consent to the administration of hyaluronidase. I am satisfied with the explanation. If I have any questions or problems after </w:t>
      </w:r>
      <w:proofErr w:type="gramStart"/>
      <w:r>
        <w:t>treatment</w:t>
      </w:r>
      <w:proofErr w:type="gramEnd"/>
      <w:r>
        <w:t xml:space="preserve"> I will call Dr. </w:t>
      </w:r>
      <w:r w:rsidR="00DE0C72">
        <w:t>Geerlings office</w:t>
      </w:r>
      <w:r>
        <w:t>. I have been provided with their contact information.</w:t>
      </w:r>
    </w:p>
    <w:p w14:paraId="0AAE55F1" w14:textId="77777777" w:rsidR="009324FC" w:rsidRDefault="009324FC">
      <w:pPr>
        <w:pStyle w:val="BodyText"/>
        <w:rPr>
          <w:sz w:val="20"/>
        </w:rPr>
      </w:pPr>
    </w:p>
    <w:p w14:paraId="5D23AEA7" w14:textId="77777777" w:rsidR="009324FC" w:rsidRDefault="009324FC">
      <w:pPr>
        <w:pStyle w:val="BodyText"/>
        <w:rPr>
          <w:sz w:val="20"/>
        </w:rPr>
      </w:pPr>
    </w:p>
    <w:p w14:paraId="3CF02E09" w14:textId="77777777" w:rsidR="009324FC" w:rsidRDefault="002512CA">
      <w:pPr>
        <w:pStyle w:val="BodyText"/>
        <w:spacing w:before="10"/>
        <w:rPr>
          <w:sz w:val="25"/>
        </w:rPr>
      </w:pPr>
      <w:r>
        <w:pict w14:anchorId="10B4DB4A">
          <v:shape id="_x0000_s1030" alt="" style="position:absolute;margin-left:72.25pt;margin-top:18.1pt;width:147.95pt;height:.1pt;z-index:-251658240;mso-wrap-edited:f;mso-width-percent:0;mso-height-percent:0;mso-wrap-distance-left:0;mso-wrap-distance-right:0;mso-position-horizontal-relative:page;mso-width-percent:0;mso-height-percent:0" coordsize="2959,1270" path="m,l2958,e" filled="f" strokeweight=".25292mm">
            <v:path arrowok="t" o:connecttype="custom" o:connectlocs="0,0;1192739550,0" o:connectangles="0,0"/>
            <w10:wrap type="topAndBottom" anchorx="page"/>
          </v:shape>
        </w:pict>
      </w:r>
      <w:r>
        <w:pict w14:anchorId="01F720C8">
          <v:shape id="_x0000_s1029" alt="" style="position:absolute;margin-left:252.25pt;margin-top:18.1pt;width:142.45pt;height:.1pt;z-index:-251657216;mso-wrap-edited:f;mso-width-percent:0;mso-height-percent:0;mso-wrap-distance-left:0;mso-wrap-distance-right:0;mso-position-horizontal-relative:page;mso-width-percent:0;mso-height-percent:0" coordsize="2849,1270" path="m,l2848,e" filled="f" strokeweight=".25292mm">
            <v:path arrowok="t" o:connecttype="custom" o:connectlocs="0,0;1148384800,0" o:connectangles="0,0"/>
            <w10:wrap type="topAndBottom" anchorx="page"/>
          </v:shape>
        </w:pict>
      </w:r>
      <w:r>
        <w:pict w14:anchorId="2BDF703E">
          <v:shape id="_x0000_s1028" alt="" style="position:absolute;margin-left:432.25pt;margin-top:18.1pt;width:98.65pt;height:.1pt;z-index:-251656192;mso-wrap-edited:f;mso-width-percent:0;mso-height-percent:0;mso-wrap-distance-left:0;mso-wrap-distance-right:0;mso-position-horizontal-relative:page;mso-width-percent:0;mso-height-percent:0" coordsize="1973,1270" path="m,l1972,e" filled="f" strokeweight=".25292mm">
            <v:path arrowok="t" o:connecttype="custom" o:connectlocs="0,0;795159700,0" o:connectangles="0,0"/>
            <w10:wrap type="topAndBottom" anchorx="page"/>
          </v:shape>
        </w:pict>
      </w:r>
    </w:p>
    <w:p w14:paraId="6522E24A" w14:textId="77777777" w:rsidR="009324FC" w:rsidRDefault="009324FC">
      <w:pPr>
        <w:pStyle w:val="BodyText"/>
        <w:spacing w:before="10"/>
        <w:rPr>
          <w:sz w:val="5"/>
        </w:rPr>
      </w:pPr>
    </w:p>
    <w:p w14:paraId="0650149E" w14:textId="77777777" w:rsidR="009324FC" w:rsidRDefault="00192BEF">
      <w:pPr>
        <w:pStyle w:val="BodyText"/>
        <w:tabs>
          <w:tab w:val="left" w:pos="3704"/>
          <w:tab w:val="left" w:pos="7304"/>
        </w:tabs>
        <w:spacing w:before="101"/>
        <w:ind w:left="104"/>
      </w:pPr>
      <w:r>
        <w:t>Patient</w:t>
      </w:r>
      <w:r>
        <w:rPr>
          <w:spacing w:val="-4"/>
        </w:rPr>
        <w:t xml:space="preserve"> </w:t>
      </w:r>
      <w:r>
        <w:t>Signature</w:t>
      </w:r>
      <w:r>
        <w:tab/>
        <w:t>Print</w:t>
      </w:r>
      <w:r>
        <w:rPr>
          <w:spacing w:val="-2"/>
        </w:rPr>
        <w:t xml:space="preserve"> </w:t>
      </w:r>
      <w:r>
        <w:t>Name</w:t>
      </w:r>
      <w:r>
        <w:tab/>
        <w:t>Date</w:t>
      </w:r>
    </w:p>
    <w:p w14:paraId="728C8B70" w14:textId="77777777" w:rsidR="009324FC" w:rsidRDefault="009324FC">
      <w:pPr>
        <w:pStyle w:val="BodyText"/>
        <w:rPr>
          <w:sz w:val="20"/>
        </w:rPr>
      </w:pPr>
    </w:p>
    <w:p w14:paraId="14CE3DED" w14:textId="77777777" w:rsidR="009324FC" w:rsidRDefault="009324FC">
      <w:pPr>
        <w:pStyle w:val="BodyText"/>
        <w:rPr>
          <w:sz w:val="20"/>
        </w:rPr>
      </w:pPr>
    </w:p>
    <w:p w14:paraId="472A78DA" w14:textId="77777777" w:rsidR="009324FC" w:rsidRDefault="009324FC">
      <w:pPr>
        <w:pStyle w:val="BodyText"/>
        <w:rPr>
          <w:sz w:val="20"/>
        </w:rPr>
      </w:pPr>
    </w:p>
    <w:p w14:paraId="436B0F2C" w14:textId="77777777" w:rsidR="009324FC" w:rsidRDefault="002512CA">
      <w:pPr>
        <w:pStyle w:val="BodyText"/>
        <w:spacing w:before="5"/>
        <w:rPr>
          <w:sz w:val="21"/>
        </w:rPr>
      </w:pPr>
      <w:r>
        <w:pict w14:anchorId="3409C709">
          <v:shape id="_x0000_s1027" alt="" style="position:absolute;margin-left:72.25pt;margin-top:15.45pt;width:147.95pt;height:.1pt;z-index:-251655168;mso-wrap-edited:f;mso-width-percent:0;mso-height-percent:0;mso-wrap-distance-left:0;mso-wrap-distance-right:0;mso-position-horizontal-relative:page;mso-width-percent:0;mso-height-percent:0" coordsize="2959,1270" path="m,l2958,e" filled="f" strokeweight=".25292mm">
            <v:path arrowok="t" o:connecttype="custom" o:connectlocs="0,0;1192739550,0" o:connectangles="0,0"/>
            <w10:wrap type="topAndBottom" anchorx="page"/>
          </v:shape>
        </w:pict>
      </w:r>
      <w:r>
        <w:pict w14:anchorId="1760E9FA">
          <v:shape id="_x0000_s1026" alt="" style="position:absolute;margin-left:252.25pt;margin-top:15.45pt;width:147.95pt;height:.1pt;z-index:-251654144;mso-wrap-edited:f;mso-width-percent:0;mso-height-percent:0;mso-wrap-distance-left:0;mso-wrap-distance-right:0;mso-position-horizontal-relative:page;mso-width-percent:0;mso-height-percent:0" coordsize="2959,1270" path="m,l2958,e" filled="f" strokeweight=".25292mm">
            <v:path arrowok="t" o:connecttype="custom" o:connectlocs="0,0;1192739550,0" o:connectangles="0,0"/>
            <w10:wrap type="topAndBottom" anchorx="page"/>
          </v:shape>
        </w:pict>
      </w:r>
    </w:p>
    <w:p w14:paraId="7D31EBDD" w14:textId="0ACD0501" w:rsidR="009324FC" w:rsidRDefault="00192BEF">
      <w:pPr>
        <w:pStyle w:val="BodyText"/>
        <w:tabs>
          <w:tab w:val="left" w:pos="3704"/>
        </w:tabs>
        <w:spacing w:before="167"/>
        <w:ind w:left="104"/>
      </w:pPr>
      <w:r>
        <w:t>P</w:t>
      </w:r>
      <w:r w:rsidR="00DE0C72">
        <w:t>hysician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7F32782A" w14:textId="77777777" w:rsidR="009324FC" w:rsidRDefault="009324FC">
      <w:pPr>
        <w:pStyle w:val="BodyText"/>
        <w:rPr>
          <w:sz w:val="26"/>
        </w:rPr>
      </w:pPr>
    </w:p>
    <w:p w14:paraId="4E38DF43" w14:textId="77777777" w:rsidR="009324FC" w:rsidRDefault="009324FC">
      <w:pPr>
        <w:pStyle w:val="BodyText"/>
        <w:spacing w:before="12"/>
        <w:rPr>
          <w:sz w:val="25"/>
        </w:rPr>
      </w:pPr>
    </w:p>
    <w:p w14:paraId="2A2D6F51" w14:textId="7645B601" w:rsidR="009324FC" w:rsidRDefault="009324FC">
      <w:pPr>
        <w:pStyle w:val="BodyText"/>
        <w:spacing w:before="7"/>
        <w:rPr>
          <w:sz w:val="11"/>
        </w:rPr>
      </w:pPr>
    </w:p>
    <w:sectPr w:rsidR="009324FC"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AAFC3" w14:textId="77777777" w:rsidR="002512CA" w:rsidRDefault="002512CA" w:rsidP="004C314A">
      <w:r>
        <w:separator/>
      </w:r>
    </w:p>
  </w:endnote>
  <w:endnote w:type="continuationSeparator" w:id="0">
    <w:p w14:paraId="42B382D5" w14:textId="77777777" w:rsidR="002512CA" w:rsidRDefault="002512CA" w:rsidP="004C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728AA" w14:textId="77777777" w:rsidR="004C314A" w:rsidRDefault="004C3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DF10" w14:textId="77777777" w:rsidR="004C314A" w:rsidRDefault="004C314A" w:rsidP="004C314A">
    <w:pPr>
      <w:pStyle w:val="Footer"/>
    </w:pPr>
    <w:r>
      <w:ptab w:relativeTo="margin" w:alignment="center" w:leader="none"/>
    </w:r>
  </w:p>
  <w:p w14:paraId="52D7AC05" w14:textId="3CF11F83" w:rsidR="004C314A" w:rsidRPr="004C314A" w:rsidRDefault="004C314A" w:rsidP="004C314A">
    <w:pPr>
      <w:pStyle w:val="Footer"/>
    </w:pPr>
    <w:r>
      <w:tab/>
      <w:t xml:space="preserve">   </w:t>
    </w:r>
    <w:r>
      <w:t>Susan Geerlings M.D.</w:t>
    </w:r>
  </w:p>
  <w:p w14:paraId="32A66803" w14:textId="057330D8" w:rsidR="004C314A" w:rsidRDefault="004C314A" w:rsidP="004C314A">
    <w:pPr>
      <w:pStyle w:val="Footer"/>
    </w:pPr>
    <w:r>
      <w:tab/>
      <w:t xml:space="preserve"> Facial Aesthetics</w:t>
    </w:r>
  </w:p>
  <w:p w14:paraId="18C04EEB" w14:textId="2F25858B" w:rsidR="004C314A" w:rsidRDefault="004C314A" w:rsidP="004C314A">
    <w:pPr>
      <w:pStyle w:val="Footer"/>
    </w:pPr>
    <w:r>
      <w:tab/>
    </w:r>
    <w:r>
      <w:t xml:space="preserve">  </w:t>
    </w:r>
    <w:r>
      <w:t>91 Jefferson Parkway, Ste. A</w:t>
    </w:r>
  </w:p>
  <w:p w14:paraId="24A03A41" w14:textId="4D80EC61" w:rsidR="004C314A" w:rsidRPr="00EA1C73" w:rsidRDefault="004C314A" w:rsidP="004C314A">
    <w:pPr>
      <w:pStyle w:val="Footer"/>
    </w:pPr>
    <w:r>
      <w:tab/>
    </w:r>
    <w:r>
      <w:t xml:space="preserve">  </w:t>
    </w:r>
    <w:r>
      <w:t>Newnan, GA 30263</w:t>
    </w:r>
  </w:p>
  <w:p w14:paraId="2BDBA641" w14:textId="08AE4508" w:rsidR="004C314A" w:rsidRDefault="004C314A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7328" w14:textId="77777777" w:rsidR="004C314A" w:rsidRDefault="004C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EFC0D" w14:textId="77777777" w:rsidR="002512CA" w:rsidRDefault="002512CA" w:rsidP="004C314A">
      <w:r>
        <w:separator/>
      </w:r>
    </w:p>
  </w:footnote>
  <w:footnote w:type="continuationSeparator" w:id="0">
    <w:p w14:paraId="16629E14" w14:textId="77777777" w:rsidR="002512CA" w:rsidRDefault="002512CA" w:rsidP="004C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A43F3" w14:textId="77777777" w:rsidR="004C314A" w:rsidRDefault="004C3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3C13" w14:textId="77777777" w:rsidR="004C314A" w:rsidRDefault="004C3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65CB" w14:textId="77777777" w:rsidR="004C314A" w:rsidRDefault="004C3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1453F"/>
    <w:multiLevelType w:val="hybridMultilevel"/>
    <w:tmpl w:val="8E303DA4"/>
    <w:lvl w:ilvl="0" w:tplc="3438D296">
      <w:start w:val="1"/>
      <w:numFmt w:val="decimal"/>
      <w:lvlText w:val="%1)"/>
      <w:lvlJc w:val="left"/>
      <w:pPr>
        <w:ind w:left="332" w:hanging="22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E90EA84">
      <w:numFmt w:val="bullet"/>
      <w:lvlText w:val="•"/>
      <w:lvlJc w:val="left"/>
      <w:pPr>
        <w:ind w:left="340" w:hanging="228"/>
      </w:pPr>
      <w:rPr>
        <w:rFonts w:hint="default"/>
      </w:rPr>
    </w:lvl>
    <w:lvl w:ilvl="2" w:tplc="5BF666D8">
      <w:numFmt w:val="bullet"/>
      <w:lvlText w:val="•"/>
      <w:lvlJc w:val="left"/>
      <w:pPr>
        <w:ind w:left="1364" w:hanging="228"/>
      </w:pPr>
      <w:rPr>
        <w:rFonts w:hint="default"/>
      </w:rPr>
    </w:lvl>
    <w:lvl w:ilvl="3" w:tplc="096E14D4">
      <w:numFmt w:val="bullet"/>
      <w:lvlText w:val="•"/>
      <w:lvlJc w:val="left"/>
      <w:pPr>
        <w:ind w:left="2388" w:hanging="228"/>
      </w:pPr>
      <w:rPr>
        <w:rFonts w:hint="default"/>
      </w:rPr>
    </w:lvl>
    <w:lvl w:ilvl="4" w:tplc="47DA028A">
      <w:numFmt w:val="bullet"/>
      <w:lvlText w:val="•"/>
      <w:lvlJc w:val="left"/>
      <w:pPr>
        <w:ind w:left="3413" w:hanging="228"/>
      </w:pPr>
      <w:rPr>
        <w:rFonts w:hint="default"/>
      </w:rPr>
    </w:lvl>
    <w:lvl w:ilvl="5" w:tplc="BBC4DF4C">
      <w:numFmt w:val="bullet"/>
      <w:lvlText w:val="•"/>
      <w:lvlJc w:val="left"/>
      <w:pPr>
        <w:ind w:left="4437" w:hanging="228"/>
      </w:pPr>
      <w:rPr>
        <w:rFonts w:hint="default"/>
      </w:rPr>
    </w:lvl>
    <w:lvl w:ilvl="6" w:tplc="0A4EC3DE">
      <w:numFmt w:val="bullet"/>
      <w:lvlText w:val="•"/>
      <w:lvlJc w:val="left"/>
      <w:pPr>
        <w:ind w:left="5462" w:hanging="228"/>
      </w:pPr>
      <w:rPr>
        <w:rFonts w:hint="default"/>
      </w:rPr>
    </w:lvl>
    <w:lvl w:ilvl="7" w:tplc="D910CADC">
      <w:numFmt w:val="bullet"/>
      <w:lvlText w:val="•"/>
      <w:lvlJc w:val="left"/>
      <w:pPr>
        <w:ind w:left="6486" w:hanging="228"/>
      </w:pPr>
      <w:rPr>
        <w:rFonts w:hint="default"/>
      </w:rPr>
    </w:lvl>
    <w:lvl w:ilvl="8" w:tplc="EE0A8134">
      <w:numFmt w:val="bullet"/>
      <w:lvlText w:val="•"/>
      <w:lvlJc w:val="left"/>
      <w:pPr>
        <w:ind w:left="7511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4FC"/>
    <w:rsid w:val="00192BEF"/>
    <w:rsid w:val="002512CA"/>
    <w:rsid w:val="004C314A"/>
    <w:rsid w:val="008912CB"/>
    <w:rsid w:val="009324FC"/>
    <w:rsid w:val="00D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C0B3033"/>
  <w15:docId w15:val="{9B363431-8104-4847-9B2A-652519C4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0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83"/>
      <w:ind w:left="332" w:hanging="22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3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1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4C3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31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Harrison geerlings</cp:lastModifiedBy>
  <cp:revision>4</cp:revision>
  <cp:lastPrinted>2020-11-28T05:44:00Z</cp:lastPrinted>
  <dcterms:created xsi:type="dcterms:W3CDTF">2020-11-09T13:52:00Z</dcterms:created>
  <dcterms:modified xsi:type="dcterms:W3CDTF">2020-11-28T05:44:00Z</dcterms:modified>
</cp:coreProperties>
</file>